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B" w:rsidRPr="00B17971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1F1EAB" w:rsidRPr="00C133D3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AD05EC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="00C45604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C45604" w:rsidRPr="00C133D3">
        <w:rPr>
          <w:rFonts w:ascii="Arial" w:hAnsi="Arial" w:cs="Arial"/>
          <w:b/>
          <w:caps/>
          <w:sz w:val="16"/>
          <w:szCs w:val="16"/>
        </w:rPr>
        <w:t xml:space="preserve">565,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>
        <w:rPr>
          <w:rFonts w:ascii="Arial" w:hAnsi="Arial" w:cs="Arial"/>
          <w:b/>
          <w:caps/>
          <w:sz w:val="16"/>
          <w:szCs w:val="16"/>
        </w:rPr>
        <w:t>70</w:t>
      </w:r>
    </w:p>
    <w:p w:rsidR="00422025" w:rsidRPr="00D43B01" w:rsidRDefault="001F1EAB" w:rsidP="001F1E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DE2A57">
        <w:rPr>
          <w:rFonts w:ascii="Arial" w:hAnsi="Arial" w:cs="Arial"/>
          <w:sz w:val="16"/>
          <w:szCs w:val="16"/>
        </w:rPr>
        <w:t xml:space="preserve">батареек типоразмера </w:t>
      </w:r>
      <w:r w:rsidR="0053280D">
        <w:rPr>
          <w:rFonts w:ascii="Arial" w:hAnsi="Arial" w:cs="Arial"/>
          <w:sz w:val="16"/>
          <w:szCs w:val="16"/>
        </w:rPr>
        <w:t>АА</w:t>
      </w:r>
      <w:r w:rsidRPr="00C13B31">
        <w:rPr>
          <w:rFonts w:ascii="Arial" w:hAnsi="Arial" w:cs="Arial"/>
          <w:sz w:val="16"/>
          <w:szCs w:val="16"/>
        </w:rPr>
        <w:t>.</w:t>
      </w:r>
      <w:r w:rsidR="00DE2A57">
        <w:rPr>
          <w:rFonts w:ascii="Arial" w:hAnsi="Arial" w:cs="Arial"/>
          <w:sz w:val="16"/>
          <w:szCs w:val="16"/>
        </w:rPr>
        <w:t xml:space="preserve"> Напряжение питания гирлянд </w:t>
      </w:r>
      <w:r w:rsidR="0053280D">
        <w:rPr>
          <w:rFonts w:ascii="Arial" w:hAnsi="Arial" w:cs="Arial"/>
          <w:sz w:val="16"/>
          <w:szCs w:val="16"/>
        </w:rPr>
        <w:t xml:space="preserve">не превышает </w:t>
      </w:r>
      <w:r w:rsidR="00AD05EC">
        <w:rPr>
          <w:rFonts w:ascii="Arial" w:hAnsi="Arial" w:cs="Arial"/>
          <w:sz w:val="16"/>
          <w:szCs w:val="16"/>
        </w:rPr>
        <w:t>4,5</w:t>
      </w:r>
      <w:r w:rsidR="00DE2A57">
        <w:rPr>
          <w:rFonts w:ascii="Arial" w:hAnsi="Arial" w:cs="Arial"/>
          <w:sz w:val="16"/>
          <w:szCs w:val="16"/>
        </w:rPr>
        <w:t>В</w:t>
      </w:r>
      <w:r w:rsidR="0053280D">
        <w:rPr>
          <w:rFonts w:ascii="Arial" w:hAnsi="Arial" w:cs="Arial"/>
          <w:sz w:val="16"/>
          <w:szCs w:val="16"/>
        </w:rPr>
        <w:t xml:space="preserve"> и</w:t>
      </w:r>
      <w:r w:rsidR="00DE2A57">
        <w:rPr>
          <w:rFonts w:ascii="Arial" w:hAnsi="Arial" w:cs="Arial"/>
          <w:sz w:val="16"/>
          <w:szCs w:val="16"/>
        </w:rPr>
        <w:t xml:space="preserve"> является безопасным для человека.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2777"/>
        <w:gridCol w:w="2777"/>
      </w:tblGrid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777" w:type="dxa"/>
          </w:tcPr>
          <w:p w:rsidR="00536169" w:rsidRPr="00C45604" w:rsidRDefault="00C45604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CL565</w:t>
            </w:r>
          </w:p>
        </w:tc>
        <w:tc>
          <w:tcPr>
            <w:tcW w:w="2777" w:type="dxa"/>
          </w:tcPr>
          <w:p w:rsidR="00536169" w:rsidRPr="00C13B31" w:rsidRDefault="00C45604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CL570 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2777" w:type="dxa"/>
          </w:tcPr>
          <w:p w:rsidR="00536169" w:rsidRPr="0053280D" w:rsidRDefault="00C45604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  <w:r w:rsidR="00536169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777" w:type="dxa"/>
          </w:tcPr>
          <w:p w:rsidR="00536169" w:rsidRPr="0053280D" w:rsidRDefault="00C45604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536169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питания</w:t>
            </w:r>
          </w:p>
        </w:tc>
        <w:tc>
          <w:tcPr>
            <w:tcW w:w="2777" w:type="dxa"/>
          </w:tcPr>
          <w:p w:rsidR="00536169" w:rsidRDefault="00C45604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536169">
              <w:rPr>
                <w:rFonts w:ascii="Arial" w:hAnsi="Arial" w:cs="Arial"/>
                <w:sz w:val="16"/>
                <w:szCs w:val="16"/>
              </w:rPr>
              <w:t>×АА</w:t>
            </w:r>
          </w:p>
        </w:tc>
        <w:tc>
          <w:tcPr>
            <w:tcW w:w="2777" w:type="dxa"/>
          </w:tcPr>
          <w:p w:rsidR="00536169" w:rsidRDefault="00C45604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6169">
              <w:rPr>
                <w:rFonts w:ascii="Arial" w:hAnsi="Arial" w:cs="Arial"/>
                <w:sz w:val="16"/>
                <w:szCs w:val="16"/>
              </w:rPr>
              <w:t>×АА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одного светодиода не более</w:t>
            </w:r>
          </w:p>
        </w:tc>
        <w:tc>
          <w:tcPr>
            <w:tcW w:w="2777" w:type="dxa"/>
          </w:tcPr>
          <w:p w:rsidR="00536169" w:rsidRDefault="00536169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C4560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2777" w:type="dxa"/>
          </w:tcPr>
          <w:p w:rsidR="00536169" w:rsidRDefault="00536169" w:rsidP="00C4560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C45604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2777" w:type="dxa"/>
          </w:tcPr>
          <w:p w:rsidR="00536169" w:rsidRDefault="00C45604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36169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  <w:tc>
          <w:tcPr>
            <w:tcW w:w="2777" w:type="dxa"/>
          </w:tcPr>
          <w:p w:rsidR="00536169" w:rsidRDefault="00C45604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6169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2777" w:type="dxa"/>
            <w:vAlign w:val="center"/>
          </w:tcPr>
          <w:p w:rsidR="00536169" w:rsidRPr="00C13B31" w:rsidRDefault="00C45604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36169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2777" w:type="dxa"/>
            <w:vAlign w:val="center"/>
          </w:tcPr>
          <w:p w:rsidR="00536169" w:rsidRPr="00C13B31" w:rsidRDefault="00C45604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36169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5554" w:type="dxa"/>
            <w:gridSpan w:val="2"/>
          </w:tcPr>
          <w:p w:rsidR="00536169" w:rsidRPr="00C13B31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C133D3" w:rsidRPr="00C13B31" w:rsidTr="00C133D3">
        <w:trPr>
          <w:jc w:val="center"/>
        </w:trPr>
        <w:tc>
          <w:tcPr>
            <w:tcW w:w="3635" w:type="dxa"/>
          </w:tcPr>
          <w:p w:rsidR="00C133D3" w:rsidRPr="00C13B31" w:rsidRDefault="00C133D3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777" w:type="dxa"/>
          </w:tcPr>
          <w:p w:rsidR="00C133D3" w:rsidRDefault="00C133D3" w:rsidP="00C133D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Теплый белый, белый,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2777" w:type="dxa"/>
          </w:tcPr>
          <w:p w:rsidR="00C133D3" w:rsidRDefault="00C133D3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Теплый белый, белый, зеленый, синий,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желтый</w:t>
            </w:r>
            <w:r w:rsidRPr="0038277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розовый  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5554" w:type="dxa"/>
            <w:gridSpan w:val="2"/>
          </w:tcPr>
          <w:p w:rsidR="00536169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5554" w:type="dxa"/>
            <w:gridSpan w:val="2"/>
          </w:tcPr>
          <w:p w:rsidR="00536169" w:rsidRPr="00C13B31" w:rsidRDefault="00536169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  <w:r w:rsidRPr="00BB4F94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B4F9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5554" w:type="dxa"/>
            <w:gridSpan w:val="2"/>
          </w:tcPr>
          <w:p w:rsidR="00536169" w:rsidRPr="00C13B31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53616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1F1EAB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554" w:type="dxa"/>
            <w:gridSpan w:val="2"/>
          </w:tcPr>
          <w:p w:rsidR="00536169" w:rsidRPr="001F1EAB" w:rsidRDefault="00536169" w:rsidP="0053616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5554" w:type="dxa"/>
            <w:gridSpan w:val="2"/>
          </w:tcPr>
          <w:p w:rsidR="00536169" w:rsidRPr="003D5267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5554" w:type="dxa"/>
            <w:gridSpan w:val="2"/>
          </w:tcPr>
          <w:p w:rsidR="00536169" w:rsidRPr="003D5267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536169" w:rsidRPr="00C13B31" w:rsidTr="00C133D3">
        <w:trPr>
          <w:jc w:val="center"/>
        </w:trPr>
        <w:tc>
          <w:tcPr>
            <w:tcW w:w="3635" w:type="dxa"/>
          </w:tcPr>
          <w:p w:rsidR="00536169" w:rsidRPr="00C13B31" w:rsidRDefault="00536169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5554" w:type="dxa"/>
            <w:gridSpan w:val="2"/>
          </w:tcPr>
          <w:p w:rsidR="00536169" w:rsidRPr="00C13B31" w:rsidRDefault="00536169" w:rsidP="0053280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DE2A57" w:rsidRDefault="00DE2A57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питания.</w:t>
      </w:r>
    </w:p>
    <w:p w:rsidR="000E420B" w:rsidRPr="00C13B31" w:rsidRDefault="000E420B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BB6D14" w:rsidRPr="00BB6D14" w:rsidRDefault="00BB6D14" w:rsidP="00D516E4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DE2A57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Вставьте батарейки АА в отсек для батареек</w:t>
      </w:r>
      <w:r w:rsidR="00E5250B" w:rsidRPr="00C13B31">
        <w:rPr>
          <w:rFonts w:ascii="Arial" w:hAnsi="Arial" w:cs="Arial"/>
          <w:sz w:val="16"/>
          <w:szCs w:val="16"/>
        </w:rPr>
        <w:t>.</w:t>
      </w:r>
      <w:r w:rsidR="00770AF1">
        <w:rPr>
          <w:rFonts w:ascii="Arial" w:hAnsi="Arial" w:cs="Arial"/>
          <w:sz w:val="16"/>
          <w:szCs w:val="16"/>
        </w:rPr>
        <w:t xml:space="preserve"> При установке батареек соблюдайте полярность.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питание</w:t>
      </w:r>
      <w:r w:rsidR="000E420B">
        <w:rPr>
          <w:rFonts w:ascii="Arial" w:hAnsi="Arial" w:cs="Arial"/>
          <w:sz w:val="16"/>
          <w:szCs w:val="16"/>
        </w:rPr>
        <w:t>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770AF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C13B3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E503C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>Продукция сертифицирована на соответствие требованиям</w:t>
      </w:r>
      <w:r w:rsidR="00843324" w:rsidRPr="00843324">
        <w:rPr>
          <w:rFonts w:ascii="Arial" w:hAnsi="Arial" w:cs="Arial"/>
          <w:sz w:val="16"/>
          <w:szCs w:val="16"/>
        </w:rPr>
        <w:t xml:space="preserve"> </w:t>
      </w:r>
      <w:r w:rsidRPr="00AE503C">
        <w:rPr>
          <w:rFonts w:ascii="Arial" w:hAnsi="Arial" w:cs="Arial"/>
          <w:sz w:val="16"/>
          <w:szCs w:val="16"/>
        </w:rPr>
        <w:t>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  <w:bookmarkStart w:id="0" w:name="_GoBack"/>
      <w:bookmarkEnd w:id="0"/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E503C" w:rsidRPr="00AE503C" w:rsidRDefault="00AD05E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Сделан</w:t>
      </w:r>
      <w:r w:rsidR="00AE503C" w:rsidRPr="00AE503C">
        <w:rPr>
          <w:rFonts w:ascii="Arial" w:hAnsi="Arial" w:cs="Arial"/>
          <w:sz w:val="16"/>
          <w:szCs w:val="16"/>
        </w:rPr>
        <w:t xml:space="preserve">о в Китае. Изготовитель: </w:t>
      </w:r>
      <w:r w:rsidRPr="00AD05EC">
        <w:rPr>
          <w:rFonts w:ascii="Arial" w:hAnsi="Arial" w:cs="Arial"/>
          <w:sz w:val="16"/>
          <w:szCs w:val="16"/>
        </w:rPr>
        <w:t>Изготовитель: «</w:t>
      </w:r>
      <w:proofErr w:type="spellStart"/>
      <w:r w:rsidRPr="00AD05EC">
        <w:rPr>
          <w:rFonts w:ascii="Arial" w:hAnsi="Arial" w:cs="Arial"/>
          <w:sz w:val="16"/>
          <w:szCs w:val="16"/>
        </w:rPr>
        <w:t>Ningbo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Yusing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Electronics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Co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AD05EC">
        <w:rPr>
          <w:rFonts w:ascii="Arial" w:hAnsi="Arial" w:cs="Arial"/>
          <w:sz w:val="16"/>
          <w:szCs w:val="16"/>
        </w:rPr>
        <w:t>Civil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Industrial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Zone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Pugen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Village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Qiu’ai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Ningbo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China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AD05EC">
        <w:rPr>
          <w:rFonts w:ascii="Arial" w:hAnsi="Arial" w:cs="Arial"/>
          <w:sz w:val="16"/>
          <w:szCs w:val="16"/>
        </w:rPr>
        <w:t>Нингбо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Юсинг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D05EC">
        <w:rPr>
          <w:rFonts w:ascii="Arial" w:hAnsi="Arial" w:cs="Arial"/>
          <w:sz w:val="16"/>
          <w:szCs w:val="16"/>
        </w:rPr>
        <w:t>Цивил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D05EC">
        <w:rPr>
          <w:rFonts w:ascii="Arial" w:hAnsi="Arial" w:cs="Arial"/>
          <w:sz w:val="16"/>
          <w:szCs w:val="16"/>
        </w:rPr>
        <w:t>Пуген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Цюай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D05EC">
        <w:rPr>
          <w:rFonts w:ascii="Arial" w:hAnsi="Arial" w:cs="Arial"/>
          <w:sz w:val="16"/>
          <w:szCs w:val="16"/>
        </w:rPr>
        <w:t>Нингбо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r w:rsidRPr="00AD05EC">
        <w:rPr>
          <w:rFonts w:ascii="Arial" w:hAnsi="Arial" w:cs="Arial"/>
          <w:sz w:val="16"/>
          <w:szCs w:val="16"/>
        </w:rPr>
        <w:lastRenderedPageBreak/>
        <w:t>Китай. Филиал завода-изготовителя: «</w:t>
      </w:r>
      <w:proofErr w:type="spellStart"/>
      <w:r w:rsidRPr="00AD05EC">
        <w:rPr>
          <w:rFonts w:ascii="Arial" w:hAnsi="Arial" w:cs="Arial"/>
          <w:sz w:val="16"/>
          <w:szCs w:val="16"/>
        </w:rPr>
        <w:t>Zheijiang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AD05EC">
        <w:rPr>
          <w:rFonts w:ascii="Arial" w:hAnsi="Arial" w:cs="Arial"/>
          <w:sz w:val="16"/>
          <w:szCs w:val="16"/>
        </w:rPr>
        <w:t>Electric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Co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AD05EC">
        <w:rPr>
          <w:rFonts w:ascii="Arial" w:hAnsi="Arial" w:cs="Arial"/>
          <w:sz w:val="16"/>
          <w:szCs w:val="16"/>
        </w:rPr>
        <w:t>Ltd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AD05EC">
        <w:rPr>
          <w:rFonts w:ascii="Arial" w:hAnsi="Arial" w:cs="Arial"/>
          <w:sz w:val="16"/>
          <w:szCs w:val="16"/>
        </w:rPr>
        <w:t>Canghai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Road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Lihai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Town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Binhai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New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City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Shaoxing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Zheijiang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Province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China</w:t>
      </w:r>
      <w:proofErr w:type="spellEnd"/>
      <w:proofErr w:type="gramStart"/>
      <w:r w:rsidRPr="00AD05EC">
        <w:rPr>
          <w:rFonts w:ascii="Arial" w:hAnsi="Arial" w:cs="Arial"/>
          <w:sz w:val="16"/>
          <w:szCs w:val="16"/>
        </w:rPr>
        <w:t>/«</w:t>
      </w:r>
      <w:proofErr w:type="spellStart"/>
      <w:proofErr w:type="gramEnd"/>
      <w:r w:rsidRPr="00AD05EC">
        <w:rPr>
          <w:rFonts w:ascii="Arial" w:hAnsi="Arial" w:cs="Arial"/>
          <w:sz w:val="16"/>
          <w:szCs w:val="16"/>
        </w:rPr>
        <w:t>Чжецзян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AD05EC">
        <w:rPr>
          <w:rFonts w:ascii="Arial" w:hAnsi="Arial" w:cs="Arial"/>
          <w:sz w:val="16"/>
          <w:szCs w:val="16"/>
        </w:rPr>
        <w:t>Цанхай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Роад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Лихай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05EC">
        <w:rPr>
          <w:rFonts w:ascii="Arial" w:hAnsi="Arial" w:cs="Arial"/>
          <w:sz w:val="16"/>
          <w:szCs w:val="16"/>
        </w:rPr>
        <w:t>Таун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D05EC">
        <w:rPr>
          <w:rFonts w:ascii="Arial" w:hAnsi="Arial" w:cs="Arial"/>
          <w:sz w:val="16"/>
          <w:szCs w:val="16"/>
        </w:rPr>
        <w:t>Бинхай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AD05EC">
        <w:rPr>
          <w:rFonts w:ascii="Arial" w:hAnsi="Arial" w:cs="Arial"/>
          <w:sz w:val="16"/>
          <w:szCs w:val="16"/>
        </w:rPr>
        <w:t>Шаосин</w:t>
      </w:r>
      <w:proofErr w:type="spellEnd"/>
      <w:r w:rsidRPr="00AD05E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AD05EC">
        <w:rPr>
          <w:rFonts w:ascii="Arial" w:hAnsi="Arial" w:cs="Arial"/>
          <w:sz w:val="16"/>
          <w:szCs w:val="16"/>
        </w:rPr>
        <w:t>Чжецзян</w:t>
      </w:r>
      <w:proofErr w:type="spellEnd"/>
      <w:r w:rsidRPr="00AD05EC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824FF2" w:rsidRPr="00C13B31" w:rsidRDefault="00AE503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E503C" w:rsidRPr="00C13B31" w:rsidRDefault="00AE503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>
        <w:rPr>
          <w:noProof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F1EAB"/>
    <w:rsid w:val="001F7B8C"/>
    <w:rsid w:val="00212792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82774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921E1"/>
    <w:rsid w:val="004A4D56"/>
    <w:rsid w:val="004B2640"/>
    <w:rsid w:val="004F1E2E"/>
    <w:rsid w:val="005159EF"/>
    <w:rsid w:val="0053280D"/>
    <w:rsid w:val="00536169"/>
    <w:rsid w:val="005810EF"/>
    <w:rsid w:val="00587E71"/>
    <w:rsid w:val="005B48D9"/>
    <w:rsid w:val="005D6F0A"/>
    <w:rsid w:val="00603BB1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70AF1"/>
    <w:rsid w:val="007A63CB"/>
    <w:rsid w:val="007D16F2"/>
    <w:rsid w:val="007E2DEE"/>
    <w:rsid w:val="007E508F"/>
    <w:rsid w:val="0080340A"/>
    <w:rsid w:val="00812545"/>
    <w:rsid w:val="008167C4"/>
    <w:rsid w:val="0082018B"/>
    <w:rsid w:val="00824FF2"/>
    <w:rsid w:val="008350C7"/>
    <w:rsid w:val="00843324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D05EC"/>
    <w:rsid w:val="00AE503C"/>
    <w:rsid w:val="00AF5A9F"/>
    <w:rsid w:val="00B018DB"/>
    <w:rsid w:val="00B10E61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01090"/>
    <w:rsid w:val="00C133D3"/>
    <w:rsid w:val="00C13B31"/>
    <w:rsid w:val="00C20258"/>
    <w:rsid w:val="00C2203D"/>
    <w:rsid w:val="00C45604"/>
    <w:rsid w:val="00C752FE"/>
    <w:rsid w:val="00C7591F"/>
    <w:rsid w:val="00CE1CCC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DE2A57"/>
    <w:rsid w:val="00DE5F2B"/>
    <w:rsid w:val="00E23258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7E58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B35E-BA48-4C0C-ABA1-A8FD5341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2023-06-20T14:59:00Z</dcterms:created>
  <dcterms:modified xsi:type="dcterms:W3CDTF">2024-01-18T14:17:00Z</dcterms:modified>
</cp:coreProperties>
</file>